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6月-7月药品生产监督检查及处理情况</w:t>
      </w:r>
    </w:p>
    <w:tbl>
      <w:tblPr>
        <w:tblStyle w:val="3"/>
        <w:tblpPr w:leftFromText="180" w:rightFromText="180" w:vertAnchor="text" w:horzAnchor="page" w:tblpX="966" w:tblpY="26"/>
        <w:tblOverlap w:val="never"/>
        <w:tblW w:w="14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700"/>
        <w:gridCol w:w="1667"/>
        <w:gridCol w:w="4783"/>
        <w:gridCol w:w="2900"/>
        <w:gridCol w:w="151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企业名称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zh-CN"/>
              </w:rPr>
              <w:t>检查时间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检查范围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检查情况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检查结论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永昇制药股份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片剂、糖浆剂、口服溶液剂（含中药前处理及提取）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10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川奇药业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片剂、硬胶囊剂、颗粒剂、糖浆剂、合剂（口服液）、口服溶液剂（含中药前处理及提取）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14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南昌立健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粉针剂（A线、B线，均为头孢菌素类）、软膏剂、乳膏剂（含激素类）、口服溶液剂、片剂、凝胶剂、散剂、硬胶囊剂、第二类精神药品（复方磷酸可待因溶液）</w:t>
            </w:r>
            <w:bookmarkStart w:id="0" w:name="_GoBack"/>
            <w:bookmarkEnd w:id="0"/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金世康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片剂、硬胶囊剂（含中药前处理及提取）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14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汪氏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片剂、颗粒剂、硬胶囊剂（含中药前处理及提取）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11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诚志永丰药业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糖浆剂（A线、B线）、合剂（含口服液，A线、B线）、口服溶液剂 、露剂（含中药前处理及提取）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13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青峰药业有限公司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小容量注射剂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注：附件所述的缺陷分为严重缺陷、主要缺陷和一般缺陷，其风险等级依次降低。举例如下：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一般缺陷：未严格限制未经授权人员进入生产区域；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主要缺陷：未保存成品留样；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严重缺陷：洁净区内虫害严重。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附件所述的整改是指企业对检查发现的缺陷进行调查分析、风险研判、措施改进，以不断完善药品生产质量管理体系，进一步确保产品质量安全。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E13F8"/>
    <w:rsid w:val="0CEE13F8"/>
    <w:rsid w:val="6F3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2019-09-12T00:35:00Z</dcterms:created>
  <dc:creator>刘琬婧</dc:creator>
  <cp:lastModifiedBy>刘琬婧</cp:lastModifiedBy>
  <dcterms:modified xsi:type="dcterms:W3CDTF">2019-09-16T00:48:57Z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